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Стоматология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(ПП) | Записей: 2</w:t>
      </w:r>
    </w:p>
    <w:p>
      <w:r>
        <w:br w:type="page"/>
      </w:r>
    </w:p>
    <w:p>
      <w:pPr>
        <w:pStyle w:val="Heading1"/>
      </w:pPr>
      <w:r>
        <w:t>Стоматология (ПП)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 обратился пациент 14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появление пятен на зубах.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на зубах верхней и нижней челюстей врачом-ортодонтом установлены брекет-системы.</w:t>
        <w:br/>
        <w:t>Впервые жалобы появились около 2 месяцев назад. Пациент чистит зубы горизонтальными движениями 2 раза в день мягкой зубной щёткой с щетиной ровной подстрижки и фторидсодержащей зубной пастой в течение 1 минуты.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Аллергоанамнез: не отягощён.</w:t>
      </w:r>
    </w:p>
    <w:p>
      <w:pPr>
        <w:spacing w:after="58"/>
      </w:pPr>
      <w:r>
        <w:rPr>
          <w:b w:val="0"/>
          <w:i w:val="0"/>
        </w:rPr>
        <w:t>* Туберкулёз, гепатит, ВИЧ: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 челюстно-лицевой области:* конфигурация лица не изменена, регионарные лимфатические узлы не пальпируются, открывание рта свободное, височно-нижнечелюстной сустав без патологии.</w:t>
      </w:r>
    </w:p>
    <w:p>
      <w:pPr>
        <w:spacing w:after="58"/>
      </w:pPr>
      <w:r>
        <w:rPr>
          <w:b w:val="0"/>
          <w:i w:val="0"/>
        </w:rPr>
        <w:t>*Осмотр полости рта:*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>
        <w:tc>
          <w:tcPr>
            <w:tcW w:type="dxa" w:w="682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?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/>
                <w:i w:val="0"/>
              </w:rPr>
              <w:t>?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/>
                <w:i w:val="0"/>
              </w:rPr>
              <w:t>1.8</w:t>
            </w:r>
          </w:p>
        </w:tc>
      </w:tr>
      <w:tr>
        <w:tc>
          <w:tcPr>
            <w:tcW w:type="dxa" w:w="682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4.8|4.7</w:t>
            </w:r>
          </w:p>
        </w:tc>
      </w:tr>
      <w:tr>
        <w:tc>
          <w:tcPr>
            <w:tcW w:type="dxa" w:w="682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П|</w:t>
            </w:r>
          </w:p>
        </w:tc>
      </w:tr>
      <w:tr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П||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При осмотре полости рта выявляется мягкий зубной налет в области фиксации брекетов, пришеечной области, межзубных промежутках. После удаления зубного налета на 1.1, 1.3, 4.1, 4.2, 4.3, 4.4 зубах в пришеечной области визуализируются меловидные пятна, блеск эмали в области очагов поражения отсутствует.</w:t>
        <w:br/>
        <w:t>Слизистая оболочка рта бледно-розового цвета, равномерно увлажнена. Папиллярная и маргинальная десна на верхней и нижней челюстях гиперемирована, отечна.</w:t>
      </w:r>
    </w:p>
    <w:p>
      <w:pPr>
        <w:spacing w:after="58"/>
      </w:pPr>
      <w:r>
        <w:rPr>
          <w:b w:val="0"/>
          <w:i w:val="0"/>
        </w:rPr>
        <w:t>*Гигиеническое состояние полости рта:* неудовлетворительное.</w:t>
      </w:r>
    </w:p>
    <w:p>
      <w:r>
        <w:drawing>
          <wp:inline xmlns:a="http://schemas.openxmlformats.org/drawingml/2006/main" xmlns:pic="http://schemas.openxmlformats.org/drawingml/2006/picture">
            <wp:extent cx="5303520" cy="359826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c5bd71ee7c6edd6b7cbef91dd30b9807812ae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982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борчалинская_30.04.12.2018 рис 1.jpg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клиническому методу обследования твердых тканей зубов, обязательному для постановки диагноза в данной клинической ситуации,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девитальное окрашивание твёрдых тканей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витальное окрашивание твёрдых тканей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пародонтальных индексов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прицельную внутриротовую контактную рентгенографию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витальное окрашивание твёрдых тканей зубов</w:t>
      </w:r>
    </w:p>
    <w:p>
      <w:pPr>
        <w:ind w:left="504"/>
      </w:pPr>
      <w:r>
        <w:rPr>
          <w:b w:val="0"/>
          <w:i/>
        </w:rPr>
        <w:t>Витальное окрашивание твердых тканей зуба. В трудных для дифференциальной диагностики с некариозными поражениями случаях окрашивают очаг поражения.</w:t>
        <w:br/>
        <w:br/>
        <w:t>Требования к диагностике амбулаторно-поликлинической:</w:t>
        <w:br/>
        <w:t>(Код А12.07.001) Витальное окрашивание твердых тканей зуба, кратность выполнения – согласно алгоритму.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6.1.3. Требования к диагностике амбулаторно-поликлинической</w:t>
      </w:r>
    </w:p>
    <w:p>
      <w:pPr>
        <w:pStyle w:val="Heading2"/>
      </w:pPr>
      <w:r>
        <w:t>3. Результаты клинического метода обследования</w:t>
      </w:r>
    </w:p>
    <w:p>
      <w:pPr>
        <w:pStyle w:val="Heading3"/>
      </w:pPr>
      <w:r>
        <w:t>3.1. Витальное окрашивание твёрдых тканей зубов</w:t>
      </w:r>
    </w:p>
    <w:p>
      <w:pPr>
        <w:spacing w:after="58"/>
      </w:pPr>
      <w:r>
        <w:rPr>
          <w:b w:val="0"/>
          <w:i w:val="0"/>
        </w:rPr>
        <w:t>Окрашивание очагов деминерализации эмали (пятен) в различные оттенки синего цвета.</w:t>
      </w:r>
    </w:p>
    <w:p>
      <w:pPr>
        <w:pStyle w:val="Heading3"/>
      </w:pPr>
      <w:r>
        <w:t>3.3. Прицельная внутриротовая контактная рентгенография</w:t>
      </w:r>
    </w:p>
    <w:p>
      <w:pPr>
        <w:spacing w:after="58"/>
      </w:pPr>
      <w:r>
        <w:rPr>
          <w:b w:val="0"/>
          <w:i w:val="0"/>
        </w:rPr>
        <w:t>Метод обследования не является обязательным для постановки диагноза в данной клинической ситуации.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обследования твердых тканей зубов для постановки диагноза в данной клинической ситуации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люминесцентную стоматоскопию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осмотр полости рта с помощью дополнительных инструментов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степени патологической подвижности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контрастную рентгенографию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индексов гигиены полости рта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волоконно-оптическую трансиллюминацию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люминесцентную стоматоскопию; волоконно-оптическую трансиллюминацию</w:t>
      </w:r>
    </w:p>
    <w:p>
      <w:pPr>
        <w:ind w:left="504"/>
      </w:pPr>
      <w:r>
        <w:rPr>
          <w:b w:val="0"/>
          <w:i/>
        </w:rPr>
        <w:t>Для подтверждения диагноза может применяться люминесцентная стоматоскопия.</w:t>
        <w:br/>
        <w:br/>
        <w:t>Требования к диагностике амбулаторно-поликлинической:</w:t>
        <w:br/>
        <w:t>(Код А03.07.001) Люминесцентная стоматоскопия, кратность выполнения – по потребности.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6.1.3. Требования к диагностике амбулаторно-поликлинической</w:t>
      </w:r>
    </w:p>
    <w:p>
      <w:pPr>
        <w:ind w:left="504"/>
      </w:pPr>
      <w:r>
        <w:rPr>
          <w:b w:val="0"/>
          <w:i/>
        </w:rPr>
        <w:t>Для подтверждения диагноза может применяться метод волоконно-оптической трансиллюминации, основанный на разнице коэффициента преломления света в интактных и пораженных тканях зуба вследствие различной плотности.</w:t>
        <w:br/>
        <w:br/>
        <w:t>Требования к диагностике амбулаторно-поликлинической:</w:t>
        <w:br/>
        <w:t>(Код А03.07.003) Диагностика состояния зубочелюстной системы с помощью методов и средств лучевой визуализации, кратность выполнения – по потребности.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6.1.3. Требования к диагностике амбулаторно-поликлинической</w:t>
      </w:r>
    </w:p>
    <w:p>
      <w:pPr>
        <w:pStyle w:val="Heading2"/>
      </w:pPr>
      <w:r>
        <w:t>5. Результаты дополнительных методов обследования</w:t>
      </w:r>
    </w:p>
    <w:p>
      <w:pPr>
        <w:pStyle w:val="Heading3"/>
      </w:pPr>
      <w:r>
        <w:t>5.1. Люминесцентная стоматоскопия</w:t>
      </w:r>
    </w:p>
    <w:p>
      <w:pPr>
        <w:spacing w:after="58"/>
      </w:pPr>
      <w:r>
        <w:rPr>
          <w:b w:val="0"/>
          <w:i w:val="0"/>
        </w:rPr>
        <w:t>Интактная эмаль светится голубым светом, а при начальном кариесе в области пятна (очага деминерализации) происходит гашение люминесценции на фоне свечения неповреждённой эмали.</w:t>
      </w:r>
    </w:p>
    <w:p>
      <w:pPr>
        <w:pStyle w:val="Heading3"/>
      </w:pPr>
      <w:r>
        <w:t>5.2. Волоконно-оптическая трансиллюминация</w:t>
      </w:r>
    </w:p>
    <w:p>
      <w:pPr>
        <w:spacing w:after="58"/>
      </w:pPr>
      <w:r>
        <w:rPr>
          <w:b w:val="0"/>
          <w:i w:val="0"/>
        </w:rPr>
        <w:t>При кариозном поражении наблюдается гашение свечения вследствие изменения оптической плотности просвечиваемых тканей.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Клиническая картина патологии твердых тканей 1.1, 1.3, 4.1, 4.2, 4.3, 4.4 зубов соответствует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Кариес эмали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Нарушения формирования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Кариес цемента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Крапчатые зубы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 эмали</w:t>
      </w:r>
    </w:p>
    <w:p>
      <w:pPr>
        <w:ind w:left="504"/>
      </w:pPr>
      <w:r>
        <w:rPr>
          <w:b w:val="0"/>
          <w:i/>
        </w:rPr>
        <w:t>Условия задачи соответствует критериям и признакам, определяющим модель пациента «КАРИЕС ЭМАЛИ».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 Модель пациента, п. 6.1.1 Критерии и признаки, определяющие модель пациента</w:t>
      </w:r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К02.0 Кариес эмали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Стадия развития патологического процесса 1.1, 1.3, 4.1, 4.2, 4.3, 4.4 зубов соответствует кариесу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приостановившемуся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развившемуся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стабильному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начальному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начальному</w:t>
      </w:r>
    </w:p>
    <w:p>
      <w:pPr>
        <w:ind w:left="504"/>
      </w:pPr>
      <w:r>
        <w:rPr>
          <w:b w:val="0"/>
          <w:i/>
        </w:rPr>
        <w:t>Нозологическая форма: кариес эмали. +</w:t>
        <w:br/>
        <w:t>Стадия: стадия «белого (мелового) пятна» (начальный кариес). +</w:t>
        <w:br/>
        <w:t>Фаза: стабилизация процесса. +</w:t>
        <w:br/>
        <w:t>Осложнение: без осложнений.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 Модель пациента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данной клинической ситуации для проведения индивидуальной гигиены полости рта пациенту рекомендуется использовать зубную щётку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циркулярную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стандартную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профессиональную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ортодонтическую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ортодонтическую</w:t>
      </w:r>
    </w:p>
    <w:p>
      <w:pPr>
        <w:ind w:left="504"/>
      </w:pPr>
      <w:r>
        <w:rPr>
          <w:b w:val="0"/>
          <w:i/>
        </w:rPr>
        <w:t>При наличии у пациента в полости рта брекет-систем рекомендованы: зубная щетка ортодонтическая средней жесткости, противокариозные и противовоспалительные зубные пасты (чередование), зубные ершики, монопучковые щетки, зубные нити (флоссы), ополаскиватели с противокариозными и противовоспалительными компонентами, ирригаторы.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№ 2. Общие рекомендации по подбору средств гигиены в зависимости от стоматологического статуса пациента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данной клинической ситуации пациенту рекомендовано использовать суперфлоссы для очищения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поверхности брекетов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 дугой брекет-системы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ямок на зубах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фиссур зубов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 дугой брекет-системы</w:t>
      </w:r>
    </w:p>
    <w:p>
      <w:pPr>
        <w:ind w:left="504"/>
      </w:pPr>
      <w:r>
        <w:rPr>
          <w:b w:val="0"/>
          <w:i/>
        </w:rPr>
        <w:t>Комплекс ежедневного гигиенического ухода за полостью рта у пациентов с несъёмными ортодонтическими конструкциями (брекеты) включает следующие мероприятия: чистку зубов с помощью мануальной ортодонтической зубной щётки с V-образной подстрижкой рабочего щёточного поля, позволяющую максимально эффективно очищать поверхности зубов и брекетов, использование межзубных ёршиков и суперфлоссов для очищения пространств под дугой брекет-системы.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 393-398.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данной клинической ситуации регулярное проведение профессиональной гигиены рта предотвращает развитие +_____+ заболеваний пародонта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идиопатических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воспалительных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дистрофических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опухолевых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воспалительных</w:t>
      </w:r>
    </w:p>
    <w:p>
      <w:pPr>
        <w:ind w:left="504"/>
      </w:pPr>
      <w:r>
        <w:rPr>
          <w:b w:val="0"/>
          <w:i/>
        </w:rPr>
        <w:t>Профессиональная гигиена полости рта включает удаление с поверхности зуба над- и поддесневых зубных отложений и позволяет предотвратить развитие кариеса зубов и воспалительных заболеваний пародонта (уровень убедительности доказательств А).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6.1.6. Характеристика алгоритмов и особенностей выполнения немедикаментозной помощи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данной клинической ситуации при кариесе эмали пациенту рекомендовано применение ополаскивателей для полости рта, содержащих соли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стронция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фтора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фтора</w:t>
      </w:r>
    </w:p>
    <w:p>
      <w:pPr>
        <w:ind w:left="504"/>
      </w:pPr>
      <w:r>
        <w:rPr>
          <w:b w:val="0"/>
          <w:i/>
        </w:rPr>
        <w:t>Зубная щётка мягкая или средней жёсткости, противокариозные зубные пасты – фторид- и кальцийсодержащие (соответственно возрасту), зубные нити (флоссы), фторидсодержащие ополаскиватели.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№ 2. Общие рекомендации по подбору средств гигиены в зависимости от стоматологического статуса пациента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лечения кариеса эмали в стадии пятна пациенту проводят курс _____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противовоспалительной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антигистаминной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десенсибилизирующей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реминерализующей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реминерализующей</w:t>
      </w:r>
    </w:p>
    <w:p>
      <w:pPr>
        <w:ind w:left="504"/>
      </w:pPr>
      <w:r>
        <w:rPr>
          <w:b w:val="0"/>
          <w:i/>
        </w:rPr>
        <w:t>Основными методами лечения кариеса эмали в стадии пятна является реминерализующая терапия и фторирование (уровень убедительности доказательств В).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6.1.8. Характеристика алгоритмов и особенностей применения медикаментов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Курс реминерализующей терапии в данной клинической ситуации состоит из _____ аппликаций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10-15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10-15</w:t>
      </w:r>
    </w:p>
    <w:p>
      <w:pPr>
        <w:ind w:left="504"/>
      </w:pPr>
      <w:r>
        <w:rPr>
          <w:b w:val="0"/>
          <w:i/>
        </w:rPr>
        <w:t>Основными методами лечения кариеса эмали в стадии пятна является реминерализующая терапия и фторирование (уровень убедительности доказательств В).</w:t>
        <w:br/>
        <w:t>Курс реминерализующей терапии состоит из 10-15 аппликаций (ежедневно или через день).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6.1.8. Характеристика алгоритмов и особенностей применения медикаментов. Реминерализующая терапия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аппликации реминерализующим средством пациенту рекомендуют не принимать пищу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20-30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1-1,5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2-3 часов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10-15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 часов</w:t>
      </w:r>
    </w:p>
    <w:p>
      <w:pPr>
        <w:ind w:left="504"/>
      </w:pPr>
      <w:r>
        <w:rPr>
          <w:b w:val="0"/>
          <w:i/>
        </w:rPr>
        <w:t>После проведения процедуры больному рекомендуют не принимать пищу в течение 2-3 часов.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6.1.8. Характеристика алгоритмов и особенностей применения медикаментов. Реминерализующая терапия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Длительность индивидуальной чистки зубов составляет _____ минуты/минут/минуту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Длительность чистки составляет 3 минуты.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6.1.6. Характеристика алгоритмов и особенностей выполнения немедикаментозной помощи. Алгоритм обучения гигиене рта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Стоматология (ПП)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поликлинику обратилась пациентка А. 75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умеренно болезненной припухлости мягких тканей щёчной области справа;</w:t>
      </w:r>
    </w:p>
    <w:p>
      <w:pPr>
        <w:spacing w:after="58"/>
      </w:pPr>
      <w:r>
        <w:rPr>
          <w:b w:val="0"/>
          <w:i w:val="0"/>
        </w:rPr>
        <w:t>* боль при накусывании на 4.6 зуб;</w:t>
      </w:r>
    </w:p>
    <w:p>
      <w:pPr>
        <w:spacing w:after="58"/>
      </w:pPr>
      <w:r>
        <w:rPr>
          <w:b w:val="0"/>
          <w:i w:val="0"/>
        </w:rPr>
        <w:t>* общую слабость, недомогание;</w:t>
      </w:r>
    </w:p>
    <w:p>
      <w:pPr>
        <w:spacing w:after="58"/>
      </w:pPr>
      <w:r>
        <w:rPr>
          <w:b w:val="0"/>
          <w:i w:val="0"/>
        </w:rPr>
        <w:t>* повышение температуры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Заболевание началось 3 дня назад, когда появилась постоянная ноющая боль в 4.6 зубе, усиливающаяся при накусывании. Боль нарастала, появилась незначительная, болезненная разлитая припухлость в правой щёчной области.</w:t>
      </w:r>
    </w:p>
    <w:p>
      <w:pPr>
        <w:spacing w:after="58"/>
      </w:pPr>
      <w:r>
        <w:rPr>
          <w:b w:val="0"/>
          <w:i w:val="0"/>
        </w:rPr>
        <w:t>* Обратилась в районную стоматологическую поликлинику, откуда была направлена в отделение челюстно-лицевой хирургии в связи с выраженной сопутствующей патологией.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Некомпенсированный сахарный диабет 2 типа.</w:t>
      </w:r>
    </w:p>
    <w:p>
      <w:pPr>
        <w:spacing w:after="58"/>
      </w:pPr>
      <w:r>
        <w:rPr>
          <w:b w:val="0"/>
          <w:i w:val="0"/>
        </w:rPr>
        <w:t>* Артериальная гипертензия.</w:t>
      </w:r>
    </w:p>
    <w:p>
      <w:pPr>
        <w:spacing w:after="58"/>
      </w:pPr>
      <w:r>
        <w:rPr>
          <w:b w:val="0"/>
          <w:i w:val="0"/>
        </w:rPr>
        <w:t>* Тромбофлебит вен нижних конечностей.</w:t>
      </w:r>
    </w:p>
    <w:p>
      <w:pPr>
        <w:spacing w:after="58"/>
      </w:pPr>
      <w:r>
        <w:rPr>
          <w:b w:val="0"/>
          <w:i w:val="0"/>
        </w:rPr>
        <w:t>* Инфаркт миокарда в анамнезе.</w:t>
      </w:r>
    </w:p>
    <w:p>
      <w:pPr>
        <w:spacing w:after="58"/>
      </w:pPr>
      <w:r>
        <w:rPr>
          <w:b w:val="0"/>
          <w:i w:val="0"/>
        </w:rPr>
        <w:t>* Приём антикоагулянтов по назначению врача.</w:t>
      </w:r>
    </w:p>
    <w:p>
      <w:pPr>
        <w:spacing w:after="58"/>
      </w:pPr>
      <w:r>
        <w:rPr>
          <w:b w:val="0"/>
          <w:i w:val="0"/>
        </w:rPr>
        <w:t>* Аллергическую реакцию на лекарственные препараты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*Общее состояние больной:* удовлетворительное.</w:t>
      </w:r>
    </w:p>
    <w:p>
      <w:pPr>
        <w:spacing w:after="58"/>
      </w:pPr>
      <w:r>
        <w:rPr>
          <w:b w:val="0"/>
          <w:i w:val="0"/>
        </w:rPr>
        <w:t>Кожный покров физиологической окраски. Пульс 78 ударов в минуту, температура тела 37,5°С.</w:t>
      </w:r>
    </w:p>
    <w:p>
      <w:pPr>
        <w:spacing w:after="58"/>
      </w:pPr>
      <w:r>
        <w:rPr>
          <w:b w:val="0"/>
          <w:i w:val="0"/>
        </w:rPr>
        <w:t>В нижнем отделе щёчной и в поднижнечелюстной областях справа определяется отёк мягких тканей. Кожа над ним не гиперемирована, собирается в складку свободно. Регионарные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Открывание рта – 3,5 см, безболезненное. Движение языка свободное, безболезненное. Коронка 4.6 зуба разрушена более чем на ⅔ кариозным процессом, перкуссия зуба положительная.</w:t>
      </w:r>
    </w:p>
    <w:p>
      <w:pPr>
        <w:spacing w:after="58"/>
      </w:pPr>
      <w:r>
        <w:rPr>
          <w:b w:val="0"/>
          <w:i w:val="0"/>
        </w:rPr>
        <w:t>Слизистая преддверия полости рта в области переходной складки нижней челюсти на уровне 4.7, 4.6, 4.5 зубов отёчна, гиперемирована. При пальпации определяется болезненный инфильтрат с размягчением в центре.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</w:tblGrid>
      <w:tr>
        <w:tc>
          <w:tcPr>
            <w:tcW w:type="dxa" w:w="17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1.8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1.6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2.6|2.7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2.8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4.8|4.7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4.6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3.6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3.8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Pt|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|П||</w:t>
            </w:r>
          </w:p>
        </w:tc>
      </w:tr>
      <w:tr>
        <w:tc>
          <w:tcPr>
            <w:tcW w:type="dxa" w:w="17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инструментальным методом обследования для постановки диагноза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ортопантомография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биопсия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ортопантомография</w:t>
      </w:r>
    </w:p>
    <w:p>
      <w:pPr>
        <w:ind w:left="504"/>
      </w:pPr>
      <w:r>
        <w:rPr>
          <w:b w:val="0"/>
          <w:i/>
        </w:rPr>
        <w:t>Для первичной диагностики воспаления, травмы, опухоли, деформации наиболее эффективна ортопантомография.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Ортопантомография</w:t>
      </w:r>
    </w:p>
    <w:p>
      <w:pPr>
        <w:spacing w:after="58"/>
      </w:pPr>
      <w:r>
        <w:rPr>
          <w:b w:val="0"/>
          <w:i w:val="0"/>
        </w:rPr>
        <w:t>В области верхушки корней 4.6 зуба выявлен очаг деструкции костной ткани округлой формы с чёткими контурами диаметром 0, 9 см.</w:t>
      </w:r>
    </w:p>
    <w:p>
      <w:pPr>
        <w:pStyle w:val="Heading3"/>
      </w:pPr>
      <w:r>
        <w:t>3.2. Реография</w:t>
      </w:r>
    </w:p>
    <w:p>
      <w:pPr>
        <w:spacing w:after="58"/>
      </w:pPr>
      <w:r>
        <w:rPr>
          <w:b w:val="0"/>
          <w:i w:val="0"/>
        </w:rPr>
        <w:t>Отсутствие клинически значимых изменений.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диагнозом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Острый лимфаденит лица, головы и шеи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Воспалительные заболевания челюстей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Злокачественное новообразование нижней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Флегмона и абсцесс области 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Воспалительные заболевания челюстей</w:t>
      </w:r>
    </w:p>
    <w:p>
      <w:pPr>
        <w:ind w:left="504"/>
      </w:pPr>
      <w:r>
        <w:rPr>
          <w:b w:val="0"/>
          <w:i/>
        </w:rPr>
        <w:t>На основе комплексного анализа жалоб, анамнеза болезни и жизни, оценки функционального состояния организма и сопутствующих заболеваний, комплексного изучения местной симптоматики, а также результатов диагностических исследований врач мысленно создает общую картину болезни.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Диагноз</w:t>
      </w:r>
    </w:p>
    <w:p>
      <w:pPr>
        <w:spacing w:after="58"/>
      </w:pPr>
      <w:r>
        <w:rPr>
          <w:b w:val="0"/>
          <w:i w:val="0"/>
        </w:rPr>
        <w:t>Воспалительные заболевания челюстей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Дифференциальную диагностику в данной клинической ситуации необходимо провести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кистой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отёком Квинке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острым остеомиелитом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актиномикозом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острым остеомиелитом</w:t>
      </w:r>
    </w:p>
    <w:p>
      <w:pPr>
        <w:ind w:left="504"/>
      </w:pPr>
      <w:r>
        <w:rPr>
          <w:b w:val="0"/>
          <w:i/>
        </w:rPr>
        <w:t>Острый остеомиелит челюсти характеризуется выраженной интоксикацией организма: лихорадочным типом температурной реакции, головной болью и др. Более выражена реакция регионарных лимфатических узлов. Периостальное утолщение кости наблюдают с обеих сторон челюсти. Характерна болезненная перкуссия нескольких зубов.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Источник распространения инфекции имеет природу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гематогенную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лимфогенную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ксеногенную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одонтогенную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одонтогенную</w:t>
      </w:r>
    </w:p>
    <w:p>
      <w:pPr>
        <w:ind w:left="504"/>
      </w:pPr>
      <w:r>
        <w:rPr>
          <w:b w:val="0"/>
          <w:i/>
        </w:rPr>
        <w:t>По данным различных авторов, в большинстве случаев абсцессов и флегмон источники инфекции имеют одонтогенную природу. Они возникают в результате распространения инфекции из апикальных очагов при обострении хронического периодонтита, реже – при остром периодонтите, а также при затруднённом прорезывании нижнего третьего моляра, нагноившейся радикулярной кисте, при инфицировании лунки удалённого зуба.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характерному признаку острого гнойного периостита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воспаление надкостницы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нескольких причинных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лимфаденита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воспаление подкожножировой клетчатки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воспаление надкостницы</w:t>
      </w:r>
    </w:p>
    <w:p>
      <w:pPr>
        <w:ind w:left="504"/>
      </w:pPr>
      <w:r>
        <w:rPr>
          <w:b w:val="0"/>
          <w:i/>
        </w:rPr>
        <w:t>Острый гнойный периостит челюсти – острое гнойное воспаление надкостницы альвеолярного отростка или тела нижней челюсти.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Развитие и течение острых гнойных воспалительных заболеваний областей головы и шеи зависят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окружающей среды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уровня гигиены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строения кожи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микрофлоры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микрофлоры</w:t>
      </w:r>
    </w:p>
    <w:p>
      <w:pPr>
        <w:ind w:left="504"/>
      </w:pPr>
      <w:r>
        <w:rPr>
          <w:b w:val="0"/>
          <w:i/>
        </w:rPr>
        <w:t>Развитие и течение острых гнойных воспалительных заболеваний областей головы и шеи зависят от микрофлоры, общих, местных неспецифических и специфических защитных факторов, состояния различных органов и систем организма, а также анатомо-топографических особенностей тканей.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Пальпация переходной складки преддверия полости рта позволяет оценить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длину корней причинного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размер очага деструкции костной ткани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размер инфильтрата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положение третьей ветви тройничного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размер инфильтрата</w:t>
      </w:r>
    </w:p>
    <w:p>
      <w:pPr>
        <w:ind w:left="504"/>
      </w:pPr>
      <w:r>
        <w:rPr>
          <w:b w:val="0"/>
          <w:i/>
        </w:rPr>
        <w:t>При пальпации уточняют границы патологических изменений.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Основной принцип лечения острых гнойных периоститов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консервативной антибактериальной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новокаиновой блокаде с антибиотиками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эндодонтическом лечение причинного зуба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вскрытии гнойного очага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вскрытии гнойного очага</w:t>
      </w:r>
    </w:p>
    <w:p>
      <w:pPr>
        <w:ind w:left="504"/>
      </w:pPr>
      <w:r>
        <w:rPr>
          <w:b w:val="0"/>
          <w:i/>
        </w:rPr>
        <w:t>При остром гнойном периостите челюсти проводят неотложное хирургическое вмешательство – вскрытие гнойного поднадкостничного очага и создание оттока экссудата (первичная хирургическая обработка гнойной раны).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Тактика в отношении причинного зуба в данном случае заключается в его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удалении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удалении с одномоментной имплантацией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эндодонтическом лечении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резекции верхушек корней причинного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удалении</w:t>
      </w:r>
    </w:p>
    <w:p>
      <w:pPr>
        <w:ind w:left="504"/>
      </w:pPr>
      <w:r>
        <w:rPr>
          <w:b w:val="0"/>
          <w:i/>
        </w:rPr>
        <w:t>Если зуб, явившийся источником инфекции, разрушен и не представляет функциональной или эстетической ценности, то его следует удалить одновременно с вскрытием поднадкостничного гнойника.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Разрез при вскрытии поднадкостничного гнойного очага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параллельно переходной складке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язычной поверхности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линии смыкания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краю нижней челюсти на всю величину инфильтрата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параллельно переходной складке</w:t>
      </w:r>
    </w:p>
    <w:p>
      <w:pPr>
        <w:ind w:left="504"/>
      </w:pPr>
      <w:r>
        <w:rPr>
          <w:b w:val="0"/>
          <w:i/>
        </w:rPr>
        <w:t>Если поднадкостничный гнойник расположен в области преддверия рта, то разрез лучше проводить клювовидным скальпелем параллельно переходной складке через весь инфильтрированный участок, рассекают слизистую оболочку, подслизистую ткань и надкостницу до кости соответственно 3-5 зубам.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Осложнением острого гнойного периостита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туберкулёз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абсцесс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ангина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абсцесс</w:t>
      </w:r>
    </w:p>
    <w:p>
      <w:pPr>
        <w:ind w:left="504"/>
      </w:pPr>
      <w:r>
        <w:rPr>
          <w:b w:val="0"/>
          <w:i/>
        </w:rPr>
        <w:t>Прогрессирование воспалительного процесса у некоторых больных вызывает распространение гнойного экссудата в околочелюстные мягкие ткани с образованием абсцесса или флегмоны.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Наиболее часто в качестве возбудителя при острых гнойных периоститах выявляют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микобактерии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смешанную микрофлору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актиномицеты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токсоплазму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смешанную микрофлору</w:t>
      </w:r>
    </w:p>
    <w:p>
      <w:pPr>
        <w:ind w:left="504"/>
      </w:pPr>
      <w:r>
        <w:rPr>
          <w:b w:val="0"/>
          <w:i/>
        </w:rPr>
        <w:t>При исследовании гноя в случае острых гнойных периоститов находят смешанную микрофлору, состоящую из стрептококков и стафилококков различных видов, грамположительных и грамотрицательных палочек.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4_karies_8aug2018/index.html" TargetMode="External"/><Relationship Id="rId11" Type="http://schemas.openxmlformats.org/officeDocument/2006/relationships/hyperlink" Target="https://library.mededtech.ru/rest/documents/4_karies_8aug2018/index.html#6_1_3_&#1090;&#1088;&#1077;&#1073;&#1086;&#1074;&#1072;&#1085;&#1080;&#1103;_&#1082;_&#1076;&#1080;&#1072;&#1075;&#1085;&#1086;&#1089;&#1090;&#1080;&#1082;&#1077;_&#1072;&#1084;&#1073;&#1091;&#1083;&#1072;&#1090;&#1086;&#1088;&#1085;&#1086;_&#1087;&#1086;&#1083;&#1080;&#1082;&#1083;&#1080;&#1085;&#1080;&#1095;&#1077;&#1089;&#1082;&#1086;&#1081;" TargetMode="External"/><Relationship Id="rId12" Type="http://schemas.openxmlformats.org/officeDocument/2006/relationships/hyperlink" Target="https://library.mededtech.ru/rest/documents/4_karies_8aug2018/index.html#6_1_&#1084;&#1086;&#1076;&#1077;&#1083;&#1100;_&#1087;&#1072;&#1094;&#1080;&#1077;&#1085;&#1090;&#1072;" TargetMode="External"/><Relationship Id="rId13" Type="http://schemas.openxmlformats.org/officeDocument/2006/relationships/hyperlink" Target="https://library.mededtech.ru/rest/documents/4_karies_8aug2018/index.html#paragraph_5s6h3" TargetMode="External"/><Relationship Id="rId14" Type="http://schemas.openxmlformats.org/officeDocument/2006/relationships/hyperlink" Target="https://library.mededtech.ru/rest/documents/4_karies_8aug2018/index.html#table_kilk1" TargetMode="External"/><Relationship Id="rId15" Type="http://schemas.openxmlformats.org/officeDocument/2006/relationships/hyperlink" Target="https://library.mededtech.ru/rest/documents/ISBN9785970453186/?anchor=list_item_cka22j#list_item_cka22j" TargetMode="External"/><Relationship Id="rId16" Type="http://schemas.openxmlformats.org/officeDocument/2006/relationships/hyperlink" Target="https://library.mededtech.ru/rest/documents/4_karies_8aug2018/index.html#paragraph_n76g1" TargetMode="External"/><Relationship Id="rId17" Type="http://schemas.openxmlformats.org/officeDocument/2006/relationships/hyperlink" Target="https://library.mededtech.ru/rest/documents/4_karies_8aug2018/index.html#paragraph_dmp22" TargetMode="External"/><Relationship Id="rId18" Type="http://schemas.openxmlformats.org/officeDocument/2006/relationships/hyperlink" Target="https://library.mededtech.ru/rest/documents/4_karies_8aug2018/index.html#paragraph_rr4f7" TargetMode="External"/><Relationship Id="rId19" Type="http://schemas.openxmlformats.org/officeDocument/2006/relationships/hyperlink" Target="https://library.mededtech.ru/rest/documents/4_karies_8aug2018/index.html#paragraph_p80u6" TargetMode="External"/><Relationship Id="rId20" Type="http://schemas.openxmlformats.org/officeDocument/2006/relationships/hyperlink" Target="https://library.mededtech.ru/rest/documents/4_karies_8aug2018/index.html#paragraph_6ddsc" TargetMode="External"/><Relationship Id="rId21" Type="http://schemas.openxmlformats.org/officeDocument/2006/relationships/hyperlink" Target="https://library.mededtech.ru/rest/documents/ISBN9785970448533/?anchor=paragraph_4tb6g9#paragraph_4tb6g9" TargetMode="External"/><Relationship Id="rId22" Type="http://schemas.openxmlformats.org/officeDocument/2006/relationships/hyperlink" Target="https://library.mededtech.ru/rest/documents/ISBN9785970448533/?anchor=paragraph_2h71n3#paragraph_2h71n3" TargetMode="External"/><Relationship Id="rId23" Type="http://schemas.openxmlformats.org/officeDocument/2006/relationships/hyperlink" Target="https://library.mededtech.ru/rest/documents/ISBN9785970448533/?anchor=paragraph_lcvcvt#paragraph_lcvcvt" TargetMode="External"/><Relationship Id="rId24" Type="http://schemas.openxmlformats.org/officeDocument/2006/relationships/hyperlink" Target="https://library.mededtech.ru/rest/documents/ISBN9785970448533/?anchor=paragraph_i20kv6#paragraph_i20kv6" TargetMode="External"/><Relationship Id="rId25" Type="http://schemas.openxmlformats.org/officeDocument/2006/relationships/hyperlink" Target="https://library.mededtech.ru/rest/documents/ISBN9785970448533/?anchor=paragraph_j2n50a#paragraph_j2n50a" TargetMode="External"/><Relationship Id="rId26" Type="http://schemas.openxmlformats.org/officeDocument/2006/relationships/hyperlink" Target="https://library.mededtech.ru/rest/documents/ISBN9785970448533/?anchor=paragraph_euf27q#paragraph_euf27q" TargetMode="External"/><Relationship Id="rId27" Type="http://schemas.openxmlformats.org/officeDocument/2006/relationships/hyperlink" Target="https://library.mededtech.ru/rest/documents/ISBN9785970448533/?anchor=paragraph_hlsr9r#paragraph_hlsr9r" TargetMode="External"/><Relationship Id="rId28" Type="http://schemas.openxmlformats.org/officeDocument/2006/relationships/hyperlink" Target="https://library.mededtech.ru/rest/documents/ISBN9785970448533/?anchor=paragraph_gn9iqr#paragraph_gn9iqr" TargetMode="External"/><Relationship Id="rId29" Type="http://schemas.openxmlformats.org/officeDocument/2006/relationships/hyperlink" Target="https://library.mededtech.ru/rest/documents/ISBN9785970448533/?anchor=paragraph_cpeelt#paragraph_cpeelt" TargetMode="External"/><Relationship Id="rId30" Type="http://schemas.openxmlformats.org/officeDocument/2006/relationships/hyperlink" Target="https://library.mededtech.ru/rest/documents/ISBN9785970448533/?anchor=paragraph_th9c86#paragraph_th9c86" TargetMode="External"/><Relationship Id="rId31" Type="http://schemas.openxmlformats.org/officeDocument/2006/relationships/hyperlink" Target="https://library.mededtech.ru/rest/documents/ISBN9785970448533/?anchor=paragraph_743bsd#paragraph_743bsd" TargetMode="External"/><Relationship Id="rId32" Type="http://schemas.openxmlformats.org/officeDocument/2006/relationships/hyperlink" Target="https://library.mededtech.ru/rest/documents/ISBN9785970448533/?anchor=list_item_pst85b#list_item_pst85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